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7" w:rsidRDefault="00112315">
      <w:r w:rsidRPr="00B06E44">
        <w:rPr>
          <w:b/>
          <w:u w:val="single"/>
        </w:rPr>
        <w:t xml:space="preserve">Atelier </w:t>
      </w:r>
      <w:r w:rsidR="00E61C0B" w:rsidRPr="00B06E44">
        <w:rPr>
          <w:b/>
          <w:u w:val="single"/>
        </w:rPr>
        <w:t>"taiji, découverte du mouvement à travers le médium peinture"</w:t>
      </w:r>
      <w:r w:rsidR="00E61C0B" w:rsidRPr="00B06E44">
        <w:rPr>
          <w:b/>
          <w:u w:val="single"/>
        </w:rPr>
        <w:t xml:space="preserve"> animé par </w:t>
      </w:r>
      <w:proofErr w:type="spellStart"/>
      <w:r w:rsidRPr="00B06E44">
        <w:rPr>
          <w:b/>
          <w:u w:val="single"/>
        </w:rPr>
        <w:t>Flo</w:t>
      </w:r>
      <w:proofErr w:type="spellEnd"/>
      <w:r w:rsidR="00E61C0B" w:rsidRPr="00B06E44">
        <w:rPr>
          <w:b/>
        </w:rPr>
        <w:t>.</w:t>
      </w:r>
      <w:r w:rsidRPr="00B06E44">
        <w:rPr>
          <w:b/>
        </w:rPr>
        <w:t> </w:t>
      </w:r>
      <w:r>
        <w:t xml:space="preserve">: </w:t>
      </w:r>
      <w:proofErr w:type="gramStart"/>
      <w:r>
        <w:t>le</w:t>
      </w:r>
      <w:proofErr w:type="gramEnd"/>
      <w:r>
        <w:t xml:space="preserve"> 23 janvier 2016</w:t>
      </w:r>
      <w:r w:rsidR="00E61C0B">
        <w:t xml:space="preserve"> après-midi au Chalet du Club.</w:t>
      </w:r>
    </w:p>
    <w:p w:rsidR="00E61C0B" w:rsidRDefault="00E61C0B">
      <w:r>
        <w:t>Projet en relation avec son mémoire de Formation de CM.</w:t>
      </w:r>
    </w:p>
    <w:p w:rsidR="00E61C0B" w:rsidRDefault="00E61C0B" w:rsidP="00E61C0B">
      <w:pPr>
        <w:pStyle w:val="Textebrut"/>
      </w:pPr>
      <w:r>
        <w:t>C</w:t>
      </w:r>
      <w:r>
        <w:t>e sera un atelier où toutes les personnes, mêmes celles qui ne savent pas dessiner ou peindre sont les bienvenues !!!</w:t>
      </w:r>
    </w:p>
    <w:p w:rsidR="00E61C0B" w:rsidRDefault="00E61C0B" w:rsidP="00E61C0B">
      <w:pPr>
        <w:pStyle w:val="Textebrut"/>
      </w:pPr>
    </w:p>
    <w:p w:rsidR="00E61C0B" w:rsidRPr="00B06E44" w:rsidRDefault="00C9631F">
      <w:pPr>
        <w:rPr>
          <w:b/>
        </w:rPr>
      </w:pPr>
      <w:r w:rsidRPr="00B06E44">
        <w:rPr>
          <w:b/>
          <w:u w:val="single"/>
        </w:rPr>
        <w:t>Ateliers de Qi-Gong</w:t>
      </w:r>
      <w:r w:rsidRPr="00B06E44">
        <w:rPr>
          <w:b/>
        </w:rPr>
        <w:t xml:space="preserve"> : </w:t>
      </w:r>
    </w:p>
    <w:p w:rsidR="00C9631F" w:rsidRDefault="00C9631F" w:rsidP="00C9631F">
      <w:pPr>
        <w:pStyle w:val="Paragraphedeliste"/>
        <w:numPr>
          <w:ilvl w:val="0"/>
          <w:numId w:val="1"/>
        </w:numPr>
      </w:pPr>
      <w:r>
        <w:t xml:space="preserve">05/12/15 et 06/02/16 : animés par Annick </w:t>
      </w:r>
      <w:proofErr w:type="spellStart"/>
      <w:r>
        <w:t>Ronné</w:t>
      </w:r>
      <w:proofErr w:type="spellEnd"/>
      <w:r>
        <w:t xml:space="preserve"> Le Verre – 14H30-17H30 Salle de Psychomotricité de l’école Dulcie September.</w:t>
      </w:r>
    </w:p>
    <w:p w:rsidR="00C9631F" w:rsidRPr="00095E75" w:rsidRDefault="00C9631F" w:rsidP="00C9631F">
      <w:pPr>
        <w:pStyle w:val="Paragraphedeliste"/>
        <w:numPr>
          <w:ilvl w:val="0"/>
          <w:numId w:val="1"/>
        </w:numPr>
        <w:rPr>
          <w:i/>
        </w:rPr>
      </w:pPr>
      <w:r>
        <w:t xml:space="preserve">19/03 et 09/04/16 : animés par Elisabeth </w:t>
      </w:r>
      <w:proofErr w:type="spellStart"/>
      <w:r>
        <w:t>Larivière</w:t>
      </w:r>
      <w:proofErr w:type="spellEnd"/>
      <w:r>
        <w:t xml:space="preserve"> – 14H30-17H30 Salle de Psychomotricité de l’école Dulcie September.</w:t>
      </w:r>
      <w:r w:rsidR="00095E75">
        <w:t xml:space="preserve"> </w:t>
      </w:r>
      <w:r w:rsidR="00095E75" w:rsidRPr="00095E75">
        <w:rPr>
          <w:u w:val="single"/>
        </w:rPr>
        <w:t xml:space="preserve">Programme : </w:t>
      </w:r>
      <w:r w:rsidR="00095E75" w:rsidRPr="00095E75">
        <w:rPr>
          <w:u w:val="single"/>
        </w:rPr>
        <w:t>Hui Chun Gong</w:t>
      </w:r>
      <w:r w:rsidR="00095E75">
        <w:t xml:space="preserve"> - </w:t>
      </w:r>
      <w:r w:rsidR="00095E75" w:rsidRPr="00095E75">
        <w:rPr>
          <w:u w:val="single"/>
        </w:rPr>
        <w:t>les animaux mythiques</w:t>
      </w:r>
      <w:r w:rsidR="00095E75">
        <w:t xml:space="preserve">_ </w:t>
      </w:r>
      <w:r w:rsidR="00095E75" w:rsidRPr="00095E75">
        <w:rPr>
          <w:i/>
        </w:rPr>
        <w:t>Les animaux mythiques font partie des plus anciennes méthodes de travail énergétique. En approchant l’esprit vital des animaux : la grue, le chat du printemps, le phénix, le cerf, le crapaud à 3 pattes, nous entrons dans une recherche profonde qui vise à régulariser les systèmes endocriniens, accroître les fonctions vitales, renforcer le système immunitaire et rajeunir les fonctions physiologiques des organes.</w:t>
      </w:r>
    </w:p>
    <w:p w:rsidR="00095E75" w:rsidRPr="00095E75" w:rsidRDefault="00095E75" w:rsidP="00C9631F">
      <w:pPr>
        <w:rPr>
          <w:b/>
        </w:rPr>
      </w:pPr>
      <w:r w:rsidRPr="00095E75">
        <w:rPr>
          <w:b/>
        </w:rPr>
        <w:tab/>
      </w:r>
      <w:r w:rsidR="00C9631F" w:rsidRPr="00095E75">
        <w:rPr>
          <w:b/>
        </w:rPr>
        <w:t xml:space="preserve">Tarifs : </w:t>
      </w:r>
    </w:p>
    <w:p w:rsidR="00C9631F" w:rsidRDefault="00C9631F" w:rsidP="00095E75">
      <w:pPr>
        <w:pStyle w:val="Paragraphedeliste"/>
        <w:numPr>
          <w:ilvl w:val="0"/>
          <w:numId w:val="2"/>
        </w:numPr>
      </w:pPr>
      <w:r>
        <w:t xml:space="preserve">Adhérents section ou autre section de l’USI : </w:t>
      </w:r>
      <w:r w:rsidR="00095E75">
        <w:t>17€/pers.</w:t>
      </w:r>
    </w:p>
    <w:p w:rsidR="00095E75" w:rsidRDefault="00095E75" w:rsidP="00095E75">
      <w:pPr>
        <w:pStyle w:val="Paragraphedeliste"/>
        <w:numPr>
          <w:ilvl w:val="0"/>
          <w:numId w:val="2"/>
        </w:numPr>
      </w:pPr>
      <w:r>
        <w:t>Invités : 25€/pers.</w:t>
      </w:r>
    </w:p>
    <w:p w:rsidR="00095E75" w:rsidRDefault="00BB72AE" w:rsidP="00C9631F">
      <w:pPr>
        <w:rPr>
          <w:b/>
          <w:u w:val="single"/>
        </w:rPr>
      </w:pPr>
      <w:r w:rsidRPr="00BB72AE">
        <w:rPr>
          <w:b/>
          <w:u w:val="single"/>
        </w:rPr>
        <w:t>Master Class :</w:t>
      </w:r>
    </w:p>
    <w:p w:rsidR="00C40A34" w:rsidRDefault="00BB72AE" w:rsidP="00C9631F">
      <w:r>
        <w:t xml:space="preserve">Animées par Florence Choffrut et Jean-Paul Guervin, ces Master Class sont tout particulièrement destinées aux enseignants de la section dans le cadre de leur formation. </w:t>
      </w:r>
    </w:p>
    <w:p w:rsidR="00BB72AE" w:rsidRDefault="00BB72AE" w:rsidP="00C9631F">
      <w:r>
        <w:t xml:space="preserve">Mais elles s’adressent aussi à tout élève avancé souhaitant </w:t>
      </w:r>
      <w:r w:rsidR="00C40A34">
        <w:t>p</w:t>
      </w:r>
      <w:r w:rsidR="00C40A34">
        <w:t>réparer les passages de</w:t>
      </w:r>
      <w:r w:rsidR="00C40A34">
        <w:t xml:space="preserve"> </w:t>
      </w:r>
      <w:proofErr w:type="spellStart"/>
      <w:r w:rsidR="00C40A34">
        <w:t>duans</w:t>
      </w:r>
      <w:proofErr w:type="spellEnd"/>
      <w:r w:rsidR="00C40A34">
        <w:t xml:space="preserve"> ou des ATT</w:t>
      </w:r>
      <w:r w:rsidR="00C40A34">
        <w:t xml:space="preserve"> ou </w:t>
      </w:r>
      <w:r>
        <w:t>participer à des compétitions.</w:t>
      </w:r>
    </w:p>
    <w:p w:rsidR="009823DD" w:rsidRDefault="009823DD" w:rsidP="009823DD">
      <w:r>
        <w:t xml:space="preserve"> 5 Master Class sont planifiées pour cette saison : </w:t>
      </w:r>
    </w:p>
    <w:p w:rsidR="00C40A34" w:rsidRDefault="00C40A34" w:rsidP="009823DD">
      <w:pPr>
        <w:pStyle w:val="Paragraphedeliste"/>
        <w:numPr>
          <w:ilvl w:val="0"/>
          <w:numId w:val="4"/>
        </w:numPr>
      </w:pPr>
      <w:r>
        <w:t xml:space="preserve">17 octobre 2015 </w:t>
      </w:r>
    </w:p>
    <w:p w:rsidR="00C40A34" w:rsidRDefault="00C40A34" w:rsidP="009823DD">
      <w:pPr>
        <w:pStyle w:val="Paragraphedeliste"/>
        <w:numPr>
          <w:ilvl w:val="0"/>
          <w:numId w:val="4"/>
        </w:numPr>
      </w:pPr>
      <w:r>
        <w:t xml:space="preserve">07 novembre </w:t>
      </w:r>
      <w:r>
        <w:t>2015</w:t>
      </w:r>
    </w:p>
    <w:p w:rsidR="00C40A34" w:rsidRDefault="00C40A34" w:rsidP="009823DD">
      <w:pPr>
        <w:pStyle w:val="Paragraphedeliste"/>
        <w:numPr>
          <w:ilvl w:val="0"/>
          <w:numId w:val="4"/>
        </w:numPr>
      </w:pPr>
      <w:r>
        <w:t xml:space="preserve">12 décembre </w:t>
      </w:r>
      <w:r>
        <w:t>2015</w:t>
      </w:r>
    </w:p>
    <w:p w:rsidR="00C40A34" w:rsidRDefault="00C40A34" w:rsidP="009823DD">
      <w:pPr>
        <w:pStyle w:val="Paragraphedeliste"/>
        <w:numPr>
          <w:ilvl w:val="0"/>
          <w:numId w:val="4"/>
        </w:numPr>
      </w:pPr>
      <w:r>
        <w:t>26 mars</w:t>
      </w:r>
      <w:r>
        <w:t xml:space="preserve"> 2016</w:t>
      </w:r>
    </w:p>
    <w:p w:rsidR="009823DD" w:rsidRDefault="009823DD" w:rsidP="009823DD">
      <w:pPr>
        <w:pStyle w:val="Paragraphedeliste"/>
        <w:numPr>
          <w:ilvl w:val="0"/>
          <w:numId w:val="4"/>
        </w:numPr>
      </w:pPr>
      <w:r>
        <w:t>9 avril 2016</w:t>
      </w:r>
    </w:p>
    <w:p w:rsidR="009823DD" w:rsidRDefault="009823DD" w:rsidP="009823DD">
      <w:r>
        <w:t>Elles se déroulent le samedi après-midi à l’école Dulcie September.</w:t>
      </w:r>
    </w:p>
    <w:p w:rsidR="00C40A34" w:rsidRDefault="00C40A34" w:rsidP="009823DD">
      <w:r>
        <w:t>Le candidat devra appliquer ce qui est demandé en fédération pour le passage de l'ATT1 avec cependant en plus, présentatio</w:t>
      </w:r>
      <w:r w:rsidR="009823DD">
        <w:t>n de l'arme choisie pour l'Att2.</w:t>
      </w:r>
    </w:p>
    <w:p w:rsidR="004F14BB" w:rsidRDefault="004F14BB" w:rsidP="009823DD"/>
    <w:p w:rsidR="004F14BB" w:rsidRDefault="004F14BB" w:rsidP="009823DD"/>
    <w:p w:rsidR="00B06E44" w:rsidRPr="004F14BB" w:rsidRDefault="00B06E44" w:rsidP="009823DD">
      <w:pPr>
        <w:rPr>
          <w:b/>
          <w:u w:val="single"/>
        </w:rPr>
      </w:pPr>
      <w:r w:rsidRPr="004F14BB">
        <w:rPr>
          <w:b/>
          <w:u w:val="single"/>
        </w:rPr>
        <w:lastRenderedPageBreak/>
        <w:t>Formations</w:t>
      </w:r>
      <w:r w:rsidR="00BC1631" w:rsidRPr="004F14BB">
        <w:rPr>
          <w:b/>
          <w:u w:val="single"/>
        </w:rPr>
        <w:t xml:space="preserve"> des </w:t>
      </w:r>
      <w:r w:rsidR="004F14BB">
        <w:rPr>
          <w:b/>
          <w:u w:val="single"/>
        </w:rPr>
        <w:t xml:space="preserve">enseignants </w:t>
      </w:r>
      <w:r w:rsidR="00BC1631" w:rsidRPr="004F14BB">
        <w:rPr>
          <w:b/>
          <w:u w:val="single"/>
        </w:rPr>
        <w:t>bénévoles :</w:t>
      </w:r>
    </w:p>
    <w:p w:rsidR="00BC1631" w:rsidRDefault="00BC1631" w:rsidP="009823DD">
      <w:proofErr w:type="spellStart"/>
      <w:r>
        <w:t>Flo</w:t>
      </w:r>
      <w:proofErr w:type="spellEnd"/>
      <w:r>
        <w:t xml:space="preserve">. Se prépare à passer le </w:t>
      </w:r>
      <w:proofErr w:type="gramStart"/>
      <w:r>
        <w:t>CM ,</w:t>
      </w:r>
      <w:proofErr w:type="gramEnd"/>
      <w:r>
        <w:t xml:space="preserve"> Ivan à passer l’ATT1, Bruno à passer l’ATT2 et Christophe finaliser le CQP et suivre la formation de Juge de compétition ou d’ATT.</w:t>
      </w:r>
    </w:p>
    <w:p w:rsidR="00BC1631" w:rsidRPr="004F14BB" w:rsidRDefault="00BC1631" w:rsidP="009823DD">
      <w:pPr>
        <w:rPr>
          <w:b/>
          <w:u w:val="single"/>
        </w:rPr>
      </w:pPr>
      <w:r w:rsidRPr="004F14BB">
        <w:rPr>
          <w:b/>
          <w:u w:val="single"/>
        </w:rPr>
        <w:t xml:space="preserve">Formations USI : </w:t>
      </w:r>
      <w:r w:rsidR="004F14BB" w:rsidRPr="004F14BB">
        <w:rPr>
          <w:b/>
        </w:rPr>
        <w:t xml:space="preserve">Sylvie </w:t>
      </w:r>
      <w:proofErr w:type="spellStart"/>
      <w:r w:rsidR="004F14BB" w:rsidRPr="004F14BB">
        <w:rPr>
          <w:b/>
        </w:rPr>
        <w:t>Monvoisin</w:t>
      </w:r>
      <w:proofErr w:type="spellEnd"/>
      <w:r w:rsidR="004F14BB">
        <w:rPr>
          <w:b/>
        </w:rPr>
        <w:t xml:space="preserve"> à l’USI sylviemonvoisin@usivry.org</w:t>
      </w:r>
    </w:p>
    <w:p w:rsidR="004F14BB" w:rsidRDefault="00BC1631" w:rsidP="00BC1631">
      <w:pPr>
        <w:rPr>
          <w:rFonts w:eastAsia="Times New Roman"/>
        </w:rPr>
      </w:pPr>
      <w:r w:rsidRPr="00BC1631">
        <w:rPr>
          <w:rFonts w:eastAsia="Times New Roman"/>
        </w:rPr>
        <w:t>Formation sur "les étirements" thème proposé cette année.</w:t>
      </w:r>
      <w:r w:rsidRPr="00BC1631">
        <w:rPr>
          <w:rFonts w:eastAsia="Times New Roman"/>
        </w:rPr>
        <w:br/>
      </w:r>
      <w:r w:rsidRPr="00BC1631">
        <w:rPr>
          <w:rFonts w:eastAsia="Times New Roman"/>
        </w:rPr>
        <w:br/>
        <w:t>Séquence en soirée avec le Conseil Général 94 encadrée par Thierry Maquet le</w:t>
      </w:r>
      <w:r w:rsidRPr="00BC1631">
        <w:rPr>
          <w:rFonts w:eastAsia="Times New Roman"/>
          <w:b/>
          <w:bCs/>
        </w:rPr>
        <w:t xml:space="preserve"> jeudi 12 novembre de 19h à 21h.</w:t>
      </w:r>
      <w:r w:rsidRPr="00BC1631">
        <w:rPr>
          <w:rFonts w:eastAsia="Times New Roman"/>
        </w:rPr>
        <w:t xml:space="preserve"> Pour tous renseignements et inscriptions suivre ce lien : </w:t>
      </w:r>
      <w:hyperlink r:id="rId6" w:history="1">
        <w:r w:rsidRPr="00BC1631">
          <w:rPr>
            <w:rStyle w:val="Lienhypertexte"/>
            <w:rFonts w:eastAsia="Times New Roman"/>
          </w:rPr>
          <w:t>http://www.usivry.com/telechargements/etirement12.pdf</w:t>
        </w:r>
      </w:hyperlink>
      <w:r w:rsidRPr="00BC1631">
        <w:rPr>
          <w:rFonts w:eastAsia="Times New Roman"/>
        </w:rPr>
        <w:br/>
      </w:r>
      <w:r w:rsidRPr="00BC1631">
        <w:rPr>
          <w:rFonts w:eastAsia="Times New Roman"/>
        </w:rPr>
        <w:br/>
      </w:r>
      <w:r>
        <w:rPr>
          <w:rFonts w:eastAsia="Times New Roman"/>
        </w:rPr>
        <w:t xml:space="preserve">-- </w:t>
      </w:r>
      <w:r w:rsidRPr="00BC1631">
        <w:rPr>
          <w:rFonts w:eastAsia="Times New Roman"/>
        </w:rPr>
        <w:t xml:space="preserve">Séquence en journée </w:t>
      </w:r>
      <w:r w:rsidRPr="00BC1631">
        <w:rPr>
          <w:rFonts w:eastAsia="Times New Roman"/>
          <w:b/>
          <w:bCs/>
        </w:rPr>
        <w:t>samedi 28 novembre de 9h à 16h30</w:t>
      </w:r>
      <w:r w:rsidRPr="00BC1631">
        <w:rPr>
          <w:rFonts w:eastAsia="Times New Roman"/>
        </w:rPr>
        <w:t xml:space="preserve">, encadrée par Martine Favier (USI) (de la théorie à la pratique, tout sur les étirements) complète fortement la séquence du 12 novembre. </w:t>
      </w:r>
      <w:r w:rsidRPr="00BC1631">
        <w:rPr>
          <w:rFonts w:eastAsia="Times New Roman"/>
        </w:rPr>
        <w:br/>
        <w:t xml:space="preserve">Inscription pour le 28 novembre "les étirements" suivre ce lien : </w:t>
      </w:r>
      <w:hyperlink r:id="rId7" w:history="1">
        <w:r w:rsidRPr="00BC1631">
          <w:rPr>
            <w:rStyle w:val="Lienhypertexte"/>
            <w:rFonts w:eastAsia="Times New Roman"/>
          </w:rPr>
          <w:t>http://www.usivry.com/telechargements/etirement28.pdf</w:t>
        </w:r>
      </w:hyperlink>
      <w:r w:rsidRPr="00BC1631">
        <w:rPr>
          <w:rFonts w:eastAsia="Times New Roman"/>
        </w:rPr>
        <w:br/>
      </w:r>
      <w:r w:rsidRPr="00BC1631">
        <w:rPr>
          <w:rFonts w:eastAsia="Times New Roman"/>
        </w:rPr>
        <w:br/>
      </w:r>
      <w:r w:rsidRPr="00BC1631">
        <w:rPr>
          <w:rFonts w:eastAsia="Times New Roman"/>
          <w:color w:val="000099"/>
          <w:sz w:val="27"/>
          <w:szCs w:val="27"/>
        </w:rPr>
        <w:br/>
      </w:r>
      <w:r w:rsidR="004F14BB">
        <w:rPr>
          <w:rFonts w:eastAsia="Times New Roman"/>
          <w:b/>
          <w:bCs/>
        </w:rPr>
        <w:t xml:space="preserve">-- </w:t>
      </w:r>
      <w:r w:rsidRPr="00BC1631">
        <w:rPr>
          <w:rFonts w:eastAsia="Times New Roman"/>
          <w:b/>
          <w:bCs/>
        </w:rPr>
        <w:t xml:space="preserve">Journée d'étude des dirigeants </w:t>
      </w:r>
      <w:proofErr w:type="gramStart"/>
      <w:r w:rsidRPr="00BC1631">
        <w:rPr>
          <w:rFonts w:eastAsia="Times New Roman"/>
          <w:b/>
          <w:bCs/>
        </w:rPr>
        <w:t>:</w:t>
      </w:r>
      <w:proofErr w:type="gramEnd"/>
      <w:r w:rsidRPr="00BC1631">
        <w:rPr>
          <w:rFonts w:eastAsia="Times New Roman"/>
        </w:rPr>
        <w:br/>
        <w:t xml:space="preserve">Le club vous propose une séquence pour mieux connaitre le club omnisports le samedi 21 novembre 2015 de 8h30 à 17h30 à l'espace Robespierre. </w:t>
      </w:r>
    </w:p>
    <w:p w:rsidR="00BC1631" w:rsidRDefault="004F14BB" w:rsidP="00BC1631">
      <w:pPr>
        <w:rPr>
          <w:rFonts w:eastAsia="Times New Roman" w:cs="Times New Roman"/>
          <w:lang w:eastAsia="fr-FR"/>
        </w:rPr>
      </w:pPr>
      <w:r>
        <w:rPr>
          <w:rFonts w:eastAsia="Times New Roman"/>
        </w:rPr>
        <w:t>Seront abordés les thèmes suivants  le bénévolat, les entraîneurs, les salariés, les sections, la vie associative</w:t>
      </w:r>
      <w:proofErr w:type="gramStart"/>
      <w:r>
        <w:rPr>
          <w:rFonts w:eastAsia="Times New Roman"/>
        </w:rPr>
        <w:t>..</w:t>
      </w:r>
      <w:proofErr w:type="gramEnd"/>
      <w:r>
        <w:rPr>
          <w:rFonts w:eastAsia="Times New Roman"/>
        </w:rPr>
        <w:t xml:space="preserve"> Les difficultés de communication dans le club, les rapports avec le club omnisports  etc.... Cette journée a été décidé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 suite aux remarques de quasiment toutes les sections sur ces problèmes. </w:t>
      </w:r>
      <w:r w:rsidR="00BC1631" w:rsidRPr="00BC1631">
        <w:rPr>
          <w:rFonts w:eastAsia="Times New Roman"/>
        </w:rPr>
        <w:br/>
      </w:r>
      <w:r w:rsidR="00BC1631" w:rsidRPr="00BC1631">
        <w:rPr>
          <w:rFonts w:eastAsia="Times New Roman"/>
        </w:rPr>
        <w:br/>
      </w:r>
      <w:r>
        <w:rPr>
          <w:rFonts w:eastAsia="Times New Roman" w:cs="Times New Roman"/>
          <w:b/>
          <w:lang w:eastAsia="fr-FR"/>
        </w:rPr>
        <w:t xml:space="preserve">-- </w:t>
      </w:r>
      <w:r w:rsidR="00BC1631" w:rsidRPr="00BC1631">
        <w:rPr>
          <w:rFonts w:eastAsia="Times New Roman" w:cs="Times New Roman"/>
          <w:b/>
          <w:lang w:eastAsia="fr-FR"/>
        </w:rPr>
        <w:t>Formations CROSIF</w:t>
      </w:r>
      <w:r w:rsidR="00BC1631" w:rsidRPr="00BC1631">
        <w:rPr>
          <w:rFonts w:eastAsia="Times New Roman" w:cs="Times New Roman"/>
          <w:lang w:eastAsia="fr-FR"/>
        </w:rPr>
        <w:t xml:space="preserve"> : Comité Régional Olympique et Sportif d'île de </w:t>
      </w:r>
      <w:r w:rsidR="00754333">
        <w:rPr>
          <w:rFonts w:eastAsia="Times New Roman" w:cs="Times New Roman"/>
          <w:lang w:eastAsia="fr-FR"/>
        </w:rPr>
        <w:t>France</w:t>
      </w:r>
    </w:p>
    <w:tbl>
      <w:tblPr>
        <w:tblW w:w="1021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585"/>
        <w:gridCol w:w="180"/>
        <w:gridCol w:w="6990"/>
        <w:gridCol w:w="69"/>
        <w:gridCol w:w="776"/>
        <w:gridCol w:w="119"/>
        <w:gridCol w:w="133"/>
        <w:gridCol w:w="178"/>
      </w:tblGrid>
      <w:tr w:rsidR="00754333" w:rsidTr="00754333">
        <w:trPr>
          <w:trHeight w:val="955"/>
        </w:trPr>
        <w:tc>
          <w:tcPr>
            <w:tcW w:w="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color w:val="EEECE1"/>
                <w:sz w:val="16"/>
                <w:szCs w:val="16"/>
                <w:lang w:eastAsia="fr-FR"/>
                <w14:cntxtAlts/>
              </w:rPr>
              <w:t>Dates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color w:val="EEECE1"/>
                <w:sz w:val="16"/>
                <w:szCs w:val="16"/>
                <w:lang w:eastAsia="fr-FR"/>
                <w14:cntxtAlts/>
              </w:rPr>
              <w:t>Thématiques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33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EEECE1"/>
                <w:sz w:val="32"/>
                <w:szCs w:val="32"/>
                <w:lang w:eastAsia="fr-FR"/>
                <w14:cntxtAlts/>
              </w:rPr>
              <w:t>Lieu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56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03/11/2015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56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 Formation des éducateurs sportifs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Améliorer la confiance et la motivation des jeunes sportifs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56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05/11/2015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 Formation des éducateurs sportifs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Adapter sa formation aux besoins des licenciés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A7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06/11/2015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A7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 Manager et développer son association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Financer son association et trouver des partenaires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A7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B8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12/11/2015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B8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 Sport Santé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Gérer son stress en compétition et chez soi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B8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09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13/11/2015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09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 Informatique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PowerPoint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09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6D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14/11/2015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6D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>Module «</w:t>
            </w:r>
            <w:r w:rsidRPr="00754333">
              <w:rPr>
                <w:color w:val="1F497D"/>
                <w:sz w:val="16"/>
                <w:szCs w:val="16"/>
                <w:lang w:eastAsia="fr-FR"/>
                <w14:cntxtAlts/>
              </w:rPr>
              <w:t xml:space="preserve"> </w:t>
            </w:r>
            <w:r w:rsidRPr="00754333">
              <w:rPr>
                <w:sz w:val="16"/>
                <w:szCs w:val="16"/>
                <w:lang w:eastAsia="fr-FR"/>
                <w14:cntxtAlts/>
              </w:rPr>
              <w:t xml:space="preserve">Formation des éducateurs sportifs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Connaître le milieu du sport en France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6D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17/11/2015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Informatique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Outlook (gestion de mails, planning, contacts…)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18/11/2015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Informatique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Publisher (créer son journal, affiche et carton d’invitation)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19-20/11/2015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Informatique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 xml:space="preserve">Première éléments (réalisez vos reportages </w:t>
            </w:r>
            <w:proofErr w:type="gramStart"/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vidéos</w:t>
            </w:r>
            <w:proofErr w:type="gramEnd"/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 xml:space="preserve"> et partagez-les sur Internet)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21/11/2015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Sport Santé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Sensibilisation à la formation d’Educateurs Sport Santé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24/11/2015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Dirigeants d’association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Gérer son projet associatif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1152"/>
        </w:trPr>
        <w:tc>
          <w:tcPr>
            <w:tcW w:w="17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A5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27/11/2015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A5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sz w:val="16"/>
                <w:szCs w:val="16"/>
                <w:lang w:eastAsia="fr-FR"/>
                <w14:cntxtAlts/>
              </w:rPr>
              <w:t xml:space="preserve">Module « Manager et développer son association » : </w:t>
            </w:r>
          </w:p>
          <w:p w:rsidR="00754333" w:rsidRPr="00754333" w:rsidRDefault="00754333">
            <w:pPr>
              <w:spacing w:after="120"/>
              <w:rPr>
                <w:color w:val="000000"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  <w:lang w:eastAsia="fr-FR"/>
                <w14:cntxtAlts/>
              </w:rPr>
              <w:t>Prendre la parole en public, gérer son émotivité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A5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33" w:rsidRDefault="00754333">
            <w:pPr>
              <w:spacing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  <w:lang w:eastAsia="fr-FR"/>
                <w14:cntxtAlts/>
              </w:rPr>
              <w:t>CROSIF</w:t>
            </w: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311" w:type="dxa"/>
            <w:gridSpan w:val="2"/>
            <w:vAlign w:val="center"/>
            <w:hideMark/>
          </w:tcPr>
          <w:p w:rsidR="00754333" w:rsidRDefault="00754333">
            <w:pPr>
              <w:rPr>
                <w:rFonts w:ascii="Calibri" w:hAnsi="Calibri"/>
                <w:color w:val="000000"/>
              </w:rPr>
            </w:pPr>
            <w:r>
              <w:t> </w:t>
            </w:r>
          </w:p>
        </w:tc>
      </w:tr>
      <w:tr w:rsidR="00754333" w:rsidTr="00754333">
        <w:trPr>
          <w:trHeight w:val="60"/>
        </w:trPr>
        <w:tc>
          <w:tcPr>
            <w:tcW w:w="180" w:type="dxa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1585" w:type="dxa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6990" w:type="dxa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69" w:type="dxa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1028" w:type="dxa"/>
            <w:gridSpan w:val="3"/>
            <w:vAlign w:val="center"/>
            <w:hideMark/>
          </w:tcPr>
          <w:p w:rsidR="00754333" w:rsidRDefault="00754333">
            <w:pPr>
              <w:spacing w:after="120"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:rsidR="00754333" w:rsidRDefault="00754333">
            <w:pPr>
              <w:spacing w:line="60" w:lineRule="atLeast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  <w:lang w:eastAsia="fr-FR"/>
                <w14:cntxtAlts/>
              </w:rPr>
              <w:t> </w:t>
            </w:r>
          </w:p>
        </w:tc>
      </w:tr>
      <w:tr w:rsidR="00754333" w:rsidTr="00754333">
        <w:tc>
          <w:tcPr>
            <w:tcW w:w="180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85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80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6990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69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19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33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78" w:type="dxa"/>
            <w:vAlign w:val="center"/>
            <w:hideMark/>
          </w:tcPr>
          <w:p w:rsidR="00754333" w:rsidRDefault="00754333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</w:tbl>
    <w:p w:rsidR="00754333" w:rsidRPr="004F14BB" w:rsidRDefault="00754333" w:rsidP="00754333">
      <w:pPr>
        <w:ind w:firstLine="708"/>
        <w:rPr>
          <w:rFonts w:ascii="Calibri" w:hAnsi="Calibri"/>
          <w:color w:val="000000"/>
          <w:sz w:val="20"/>
          <w:szCs w:val="20"/>
        </w:rPr>
      </w:pPr>
      <w:r w:rsidRPr="004F14BB">
        <w:rPr>
          <w:color w:val="203864"/>
          <w:sz w:val="20"/>
          <w:szCs w:val="20"/>
          <w:lang w:eastAsia="fr-FR"/>
          <w14:cntxtAlts/>
        </w:rPr>
        <w:t xml:space="preserve">Toutes ces sessions de formation </w:t>
      </w:r>
      <w:r w:rsidRPr="004F14BB">
        <w:rPr>
          <w:color w:val="1F497D"/>
          <w:sz w:val="20"/>
          <w:szCs w:val="20"/>
          <w:lang w:eastAsia="fr-FR"/>
          <w14:cntxtAlts/>
        </w:rPr>
        <w:t xml:space="preserve">sont </w:t>
      </w:r>
      <w:r w:rsidRPr="004F14BB">
        <w:rPr>
          <w:color w:val="203864"/>
          <w:sz w:val="20"/>
          <w:szCs w:val="20"/>
          <w:lang w:eastAsia="fr-FR"/>
          <w14:cntxtAlts/>
        </w:rPr>
        <w:t xml:space="preserve">disponibles. </w:t>
      </w:r>
    </w:p>
    <w:p w:rsidR="00754333" w:rsidRPr="004F14BB" w:rsidRDefault="00754333" w:rsidP="00754333">
      <w:pPr>
        <w:ind w:left="708"/>
        <w:rPr>
          <w:color w:val="203864"/>
          <w:sz w:val="20"/>
          <w:szCs w:val="20"/>
          <w:lang w:eastAsia="fr-FR"/>
          <w14:cntxtAlts/>
        </w:rPr>
      </w:pPr>
      <w:r w:rsidRPr="004F14BB">
        <w:rPr>
          <w:color w:val="203864"/>
          <w:sz w:val="20"/>
          <w:szCs w:val="20"/>
          <w:lang w:eastAsia="fr-FR"/>
          <w14:cntxtAlts/>
        </w:rPr>
        <w:t xml:space="preserve">Pour toute demande d’information complémentaire, n’hésitez pas à contacter le CROSIF. </w:t>
      </w:r>
    </w:p>
    <w:p w:rsidR="00F86B9B" w:rsidRDefault="004F14BB" w:rsidP="00754333">
      <w:pPr>
        <w:ind w:left="708"/>
      </w:pPr>
      <w:r w:rsidRPr="00F86B9B">
        <w:rPr>
          <w:b/>
          <w:u w:val="single"/>
        </w:rPr>
        <w:t>Fête des 10 ans :</w:t>
      </w:r>
      <w:r>
        <w:t xml:space="preserve"> </w:t>
      </w:r>
    </w:p>
    <w:p w:rsidR="00F93B2B" w:rsidRDefault="004F14BB" w:rsidP="00754333">
      <w:pPr>
        <w:ind w:left="708"/>
      </w:pPr>
      <w:bookmarkStart w:id="0" w:name="_GoBack"/>
      <w:bookmarkEnd w:id="0"/>
      <w:r>
        <w:t>Pour les 10 ans de la section, nous avons décidé d’organiser une fête pour réunir les adhérents de la section et pas seulement les adhérents de cette saison mais ég</w:t>
      </w:r>
      <w:r w:rsidR="00F93B2B">
        <w:t>alement les anciens élèves. Nous avons invité également tout ceux qui ont contribué ou contribuent à la vie de notre section : des membres du Bureau de l’USI, de l’équipe administrative, du service des Sports de la Mairie,… Et aussi le Maître de l’école Yang Jia Lao Jia, Antoine LY, qui a répondu présent, les professeurs d’Ile de France de l’école YJLY.</w:t>
      </w:r>
    </w:p>
    <w:p w:rsidR="00F93B2B" w:rsidRDefault="00F93B2B" w:rsidP="00754333">
      <w:pPr>
        <w:ind w:left="708"/>
      </w:pPr>
      <w:r>
        <w:t xml:space="preserve">Beaucoup d’invitations de lancées. Aujourd’hui la participation est de 54 personnes. Seulement 16 adhérents sur la centaine que nous sommes ont répondu. Alors si vous ne l’avez pas encore </w:t>
      </w:r>
      <w:proofErr w:type="gramStart"/>
      <w:r>
        <w:t>fait</w:t>
      </w:r>
      <w:proofErr w:type="gramEnd"/>
      <w:r>
        <w:t>, faites nous savoir si vous participerez à cette soirée.</w:t>
      </w:r>
    </w:p>
    <w:p w:rsidR="00836B9A" w:rsidRDefault="00836B9A" w:rsidP="00754333">
      <w:pPr>
        <w:ind w:left="708"/>
      </w:pPr>
      <w:r>
        <w:t>Pour recevoir tout le monde, il fallait une grande salle. Grâce à l’aide de l’USI, nous avons pu louer la grande salle des Champs Dauphins (2 rue Ernest Renan). Un bel endroit pour nous retrouver.</w:t>
      </w:r>
    </w:p>
    <w:p w:rsidR="00F93B2B" w:rsidRDefault="00F93B2B" w:rsidP="00754333">
      <w:pPr>
        <w:ind w:left="708"/>
      </w:pPr>
      <w:r>
        <w:t>Cette soirée, nous la voulons festive avant tout : c</w:t>
      </w:r>
      <w:r w:rsidR="00836B9A">
        <w:t>e sera</w:t>
      </w:r>
      <w:r>
        <w:t xml:space="preserve"> l’occasion de nous retrouver, de faire connaissance avec les professeurs, les élèves des autres cours,… et de s’amuser</w:t>
      </w:r>
      <w:r w:rsidR="00836B9A">
        <w:t xml:space="preserve"> et de danser</w:t>
      </w:r>
      <w:r>
        <w:t> !</w:t>
      </w:r>
    </w:p>
    <w:p w:rsidR="004F14BB" w:rsidRDefault="00F93B2B" w:rsidP="00754333">
      <w:pPr>
        <w:ind w:left="708"/>
      </w:pPr>
      <w:r>
        <w:t xml:space="preserve">Un buffet des mets préparés par </w:t>
      </w:r>
      <w:r w:rsidR="00836B9A">
        <w:t xml:space="preserve">les convives agrémentera la soirée. </w:t>
      </w:r>
      <w:r w:rsidR="00836B9A">
        <w:t>Il est possible de réchauffer les plats.</w:t>
      </w:r>
      <w:r w:rsidR="00836B9A">
        <w:t xml:space="preserve"> Les boissons sont offertes par la section. </w:t>
      </w:r>
    </w:p>
    <w:p w:rsidR="00836B9A" w:rsidRDefault="00836B9A" w:rsidP="00754333">
      <w:pPr>
        <w:ind w:left="708"/>
      </w:pPr>
      <w:r>
        <w:t>Nous accueillerons les invités à partir de 18H. Des démos seront « improvisées » en début de soirée pour laisser ensuite libre cours à la fête.</w:t>
      </w:r>
    </w:p>
    <w:p w:rsidR="00836B9A" w:rsidRDefault="00836B9A" w:rsidP="00754333">
      <w:pPr>
        <w:ind w:left="708"/>
      </w:pPr>
      <w:r>
        <w:t>L’installation de la salle pourra se faire dès la veille et nous aurons besoin du concours de personnes disponibles pour nous aider à la mise en place.</w:t>
      </w:r>
    </w:p>
    <w:p w:rsidR="00836B9A" w:rsidRDefault="00836B9A" w:rsidP="00754333">
      <w:pPr>
        <w:ind w:left="708"/>
      </w:pPr>
      <w:r>
        <w:t>Egalement, nous souhaitons faire une projection de photos de ces 10 ans écoulés et avons lancé un appel à rechercher des photos éventuelles.</w:t>
      </w:r>
    </w:p>
    <w:p w:rsidR="00836B9A" w:rsidRDefault="0049706E" w:rsidP="00754333">
      <w:pPr>
        <w:ind w:left="708"/>
      </w:pPr>
      <w:r>
        <w:t>Déployer l’éventail.</w:t>
      </w:r>
    </w:p>
    <w:p w:rsidR="009F6E24" w:rsidRPr="00F86B9B" w:rsidRDefault="009F6E24" w:rsidP="00754333">
      <w:pPr>
        <w:ind w:left="708"/>
        <w:rPr>
          <w:b/>
          <w:u w:val="single"/>
        </w:rPr>
      </w:pPr>
      <w:r w:rsidRPr="00F86B9B">
        <w:rPr>
          <w:b/>
          <w:u w:val="single"/>
        </w:rPr>
        <w:t>S</w:t>
      </w:r>
      <w:r w:rsidR="00F86B9B" w:rsidRPr="00F86B9B">
        <w:rPr>
          <w:b/>
          <w:u w:val="single"/>
        </w:rPr>
        <w:t>éminaire</w:t>
      </w:r>
      <w:r w:rsidRPr="00F86B9B">
        <w:rPr>
          <w:b/>
          <w:u w:val="single"/>
        </w:rPr>
        <w:t xml:space="preserve"> de Diététique chinoise :</w:t>
      </w:r>
    </w:p>
    <w:p w:rsidR="00F86B9B" w:rsidRDefault="009F6E24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t xml:space="preserve">Enfin autre évènement que nous souhaiterions mettre en place cette année en partenariat avec l’association de l’AMYT Paris 13: Un week-end de séminaire sur le sujet de la Diététique Chinoise qui serait animé par </w:t>
      </w:r>
      <w:r>
        <w:rPr>
          <w:rFonts w:cs="LucidaHandwriting"/>
        </w:rPr>
        <w:t>Marie-Emmanuelle GATINEAUD (</w:t>
      </w:r>
      <w:r w:rsidRPr="009F6E24">
        <w:rPr>
          <w:rFonts w:cs="Times New Roman"/>
          <w:bCs/>
        </w:rPr>
        <w:t>Diététicienne Nutritionniste D.E., Diététique Chinoise Appliquée</w:t>
      </w:r>
      <w:r>
        <w:rPr>
          <w:rFonts w:cs="Times New Roman"/>
          <w:bCs/>
        </w:rPr>
        <w:t xml:space="preserve">) et qui coûterait environ 40 €/pers. Il nous faut trouver une salle disponible sur 1 week-end et pouvant accueillir une vingtaine de personnes. </w:t>
      </w:r>
    </w:p>
    <w:p w:rsidR="00F86B9B" w:rsidRDefault="009F6E24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Nous cherchons des bénévoles intéressés pour mettre en œuvre ce projet.</w:t>
      </w: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9F6E2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LucidaHandwriting" w:hAnsi="LucidaHandwriting" w:cs="LucidaHandwriting"/>
          <w:color w:val="000000"/>
          <w:sz w:val="24"/>
          <w:szCs w:val="24"/>
        </w:rPr>
      </w:pPr>
      <w:r>
        <w:rPr>
          <w:rFonts w:ascii="LucidaHandwriting" w:hAnsi="LucidaHandwriting" w:cs="LucidaHandwriting"/>
          <w:color w:val="000000"/>
          <w:sz w:val="24"/>
          <w:szCs w:val="24"/>
        </w:rPr>
        <w:t>Marie-Emmanuelle GATINEAUD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Diététicienne Nutritionniste D.E., Diététique Chinoise Appliquée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Immeuble Les Lavandes – 5, rue Jules Verne – 13090 AIX EN PROVENCE – France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Tél. : 04 42 26 05 35 et 06 29 03 87 46 Mail : </w:t>
      </w:r>
      <w:r>
        <w:rPr>
          <w:rFonts w:ascii="Times New Roman" w:hAnsi="Times New Roman" w:cs="Times New Roman"/>
          <w:color w:val="0000FF"/>
        </w:rPr>
        <w:t>megatineaud@yahoo.fr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Site : diet-gatineaud.com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jc w:val="center"/>
        <w:rPr>
          <w:rFonts w:ascii="LucidaHandwriting" w:hAnsi="LucidaHandwriting" w:cs="LucidaHandwriting"/>
          <w:color w:val="000000"/>
          <w:sz w:val="28"/>
          <w:szCs w:val="28"/>
        </w:rPr>
      </w:pPr>
      <w:r>
        <w:rPr>
          <w:rFonts w:ascii="LucidaHandwriting" w:hAnsi="LucidaHandwriting" w:cs="LucidaHandwriting"/>
          <w:color w:val="000000"/>
          <w:sz w:val="28"/>
          <w:szCs w:val="28"/>
        </w:rPr>
        <w:t>DIETETIQUE CHINOISE : en théorie et en pratique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LucidaHandwriting" w:hAnsi="LucidaHandwriting" w:cs="LucidaHandwriting"/>
          <w:color w:val="000000"/>
          <w:sz w:val="28"/>
          <w:szCs w:val="28"/>
        </w:rPr>
      </w:pP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jc w:val="center"/>
        <w:rPr>
          <w:rFonts w:ascii="BerlinSansFB" w:hAnsi="BerlinSansFB" w:cs="BerlinSansFB"/>
          <w:color w:val="000000"/>
          <w:sz w:val="24"/>
          <w:szCs w:val="24"/>
        </w:rPr>
      </w:pPr>
      <w:r>
        <w:rPr>
          <w:rFonts w:ascii="BerlinSansFB" w:hAnsi="BerlinSansFB" w:cs="BerlinSansFB"/>
          <w:color w:val="000000"/>
          <w:sz w:val="24"/>
          <w:szCs w:val="24"/>
        </w:rPr>
        <w:t>PROGRAMME SUR DEUX JOURS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Notions de physiologie chinoise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concepts de base : le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Yin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阴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et le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Yang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阳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l’Essence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Jing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Souffle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Qi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气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氣</w:t>
      </w:r>
      <w:r>
        <w:rPr>
          <w:rFonts w:ascii="Times New Roman" w:hAnsi="Times New Roman" w:cs="Times New Roman"/>
          <w:color w:val="000000"/>
          <w:sz w:val="24"/>
          <w:szCs w:val="24"/>
        </w:rPr>
        <w:t>), le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Sang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Xue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血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les Liquides Organiques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Jin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Ye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津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l’Esprit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Shen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神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physiologie de la digestion : les organes-fonctions concernés, les rôles de Rate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Pi </w:t>
      </w:r>
      <w:r>
        <w:rPr>
          <w:rFonts w:ascii="PMingLiU-WinCharSetFFFF-H2" w:eastAsia="PMingLiU-WinCharSetFFFF-H2" w:hAnsi="LucidaHandwriting" w:cs="PMingLiU-WinCharSetFFFF-H2" w:hint="eastAsia"/>
          <w:color w:val="000000"/>
          <w:sz w:val="24"/>
          <w:szCs w:val="24"/>
        </w:rPr>
        <w:t>脾</w:t>
      </w:r>
      <w:r>
        <w:rPr>
          <w:rFonts w:ascii="PMingLiU-WinCharSetFFFF-H2" w:eastAsia="PMingLiU-WinCharSetFFFF-H2" w:hAnsi="LucidaHandwriting" w:cs="PMingLiU-WinCharSetFFFF-H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-Estomac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Wei </w:t>
      </w:r>
      <w:r>
        <w:rPr>
          <w:rFonts w:ascii="PMingLiU-WinCharSetFFFF-H2" w:eastAsia="PMingLiU-WinCharSetFFFF-H2" w:hAnsi="LucidaHandwriting" w:cs="PMingLiU-WinCharSetFFFF-H2" w:hint="eastAsia"/>
          <w:color w:val="000000"/>
          <w:sz w:val="24"/>
          <w:szCs w:val="24"/>
        </w:rPr>
        <w:t>胃</w:t>
      </w:r>
      <w:r>
        <w:rPr>
          <w:rFonts w:ascii="PMingLiU-WinCharSetFFFF-H2" w:eastAsia="PMingLiU-WinCharSetFFFF-H2" w:hAnsi="LucidaHandwriting" w:cs="PMingLiU-WinCharSetFFFF-H2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du Rein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肾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(extraction du Jing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 aliments ; extraction du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 aliments 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Qi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谷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气</w:t>
      </w:r>
      <w:r>
        <w:rPr>
          <w:rFonts w:ascii="Times New Roman" w:hAnsi="Times New Roman" w:cs="Times New Roman"/>
          <w:color w:val="000000"/>
          <w:sz w:val="24"/>
          <w:szCs w:val="24"/>
        </w:rPr>
        <w:t>), l’évacuation des déchets, bilan de la digestion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Notion d’aliment en médecine traditionnelle chinoise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Jing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Qi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气</w:t>
      </w:r>
      <w:r>
        <w:rPr>
          <w:rFonts w:ascii="SimSun-WinCharSetFFFF-H" w:eastAsia="SimSun-WinCharSetFFFF-H" w:hAnsi="LucidaHandwriting" w:cs="SimSun-WinCharSetFFFF-H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la saveur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Wei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la forme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Xing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形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Théorie des 5 Mouvements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Wu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imSun-WinCharSetFFFF-H" w:eastAsia="SimSun-WinCharSetFFFF-H" w:hAnsi="LucidaHandwriting" w:cs="SimSun-WinCharSetFFFF-H" w:hint="eastAsia"/>
          <w:color w:val="000000"/>
          <w:sz w:val="24"/>
          <w:szCs w:val="24"/>
        </w:rPr>
        <w:t>五行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 leurs correspondances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Autres principes généraux de la diététique traditionnelle chinoise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fondements philosophiques, le besoin de chaleur digestive, le contrôle de l’Humidité, la qualité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l’environnement émotionnel, la qualité de la mastication, les quantités ingérées, la structure des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la qualité nutritionnelle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 pyramides alimentaires : occidentale et chinoise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Classifications des aliments selon leur nature et selon leur saveur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Diététique traditionnelle chinoise selon l’âge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enfants, les adultes, les femmes à la puberté, en âge d’avoir des enfants, enceintes, ménopausées,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personnes âgées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Diététique chinoise selon les constitutions (Vide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Vide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Yang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Vide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Qi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Vide de Sang)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Diététique chinoise selon les saisons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Récapitulatif pratique pour l’élaboration des repas au quotidien</w:t>
      </w: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SUPPORTS DE DOCUMENTS LAISSES AUX PARTICIPANTS</w:t>
      </w:r>
    </w:p>
    <w:p w:rsidR="00754333" w:rsidRPr="00BC1631" w:rsidRDefault="00754333" w:rsidP="00BC1631">
      <w:pPr>
        <w:rPr>
          <w:rFonts w:eastAsia="Times New Roman" w:cs="Times New Roman"/>
          <w:lang w:eastAsia="fr-FR"/>
        </w:rPr>
      </w:pPr>
    </w:p>
    <w:sectPr w:rsidR="00754333" w:rsidRPr="00BC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Handwrit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PMingLiU-WinCharSetFFFF-H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9BE"/>
    <w:multiLevelType w:val="hybridMultilevel"/>
    <w:tmpl w:val="8D741A0E"/>
    <w:lvl w:ilvl="0" w:tplc="8E5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228F"/>
    <w:multiLevelType w:val="hybridMultilevel"/>
    <w:tmpl w:val="DD2C7926"/>
    <w:lvl w:ilvl="0" w:tplc="8E5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45A9"/>
    <w:multiLevelType w:val="hybridMultilevel"/>
    <w:tmpl w:val="90E4F940"/>
    <w:lvl w:ilvl="0" w:tplc="C7EE787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21D80"/>
    <w:multiLevelType w:val="hybridMultilevel"/>
    <w:tmpl w:val="DA4EA64C"/>
    <w:lvl w:ilvl="0" w:tplc="8E5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70FA"/>
    <w:multiLevelType w:val="hybridMultilevel"/>
    <w:tmpl w:val="CC0688C4"/>
    <w:lvl w:ilvl="0" w:tplc="8E503E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3C7742"/>
    <w:multiLevelType w:val="multilevel"/>
    <w:tmpl w:val="E11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15"/>
    <w:rsid w:val="00095E75"/>
    <w:rsid w:val="00112315"/>
    <w:rsid w:val="0049706E"/>
    <w:rsid w:val="004F14BB"/>
    <w:rsid w:val="00663B8B"/>
    <w:rsid w:val="00754333"/>
    <w:rsid w:val="00836B9A"/>
    <w:rsid w:val="009823DD"/>
    <w:rsid w:val="009C17A7"/>
    <w:rsid w:val="009F6E24"/>
    <w:rsid w:val="00B06E44"/>
    <w:rsid w:val="00BB72AE"/>
    <w:rsid w:val="00BC1631"/>
    <w:rsid w:val="00C40A34"/>
    <w:rsid w:val="00C9631F"/>
    <w:rsid w:val="00E61C0B"/>
    <w:rsid w:val="00F86B9B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E61C0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61C0B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C9631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0A3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1631"/>
    <w:rPr>
      <w:rFonts w:ascii="Courier New" w:hAnsi="Courier New" w:cs="Courier New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E61C0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61C0B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C9631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0A3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1631"/>
    <w:rPr>
      <w:rFonts w:ascii="Courier New" w:hAnsi="Courier New" w:cs="Courier New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4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68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2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3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4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ivry.com/telechargements/etirement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vry.com/telechargements/etirement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8</cp:revision>
  <dcterms:created xsi:type="dcterms:W3CDTF">2015-11-05T21:06:00Z</dcterms:created>
  <dcterms:modified xsi:type="dcterms:W3CDTF">2015-11-05T22:34:00Z</dcterms:modified>
</cp:coreProperties>
</file>